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C56" w:rsidRPr="00D17FE0" w:rsidRDefault="00061A7A" w:rsidP="002F5C56">
      <w:pPr>
        <w:tabs>
          <w:tab w:val="left" w:pos="825"/>
        </w:tabs>
        <w:spacing w:before="100" w:beforeAutospacing="1" w:after="100" w:afterAutospacing="1" w:line="240" w:lineRule="auto"/>
        <w:jc w:val="center"/>
        <w:rPr>
          <w:rFonts w:ascii="Helvetica" w:eastAsia="Times New Roman" w:hAnsi="Helvetica" w:cs="Helvetica"/>
          <w:b/>
          <w:smallCaps/>
          <w:sz w:val="24"/>
          <w:szCs w:val="24"/>
          <w:lang w:eastAsia="it-IT"/>
        </w:rPr>
      </w:pPr>
      <w:r>
        <w:rPr>
          <w:rFonts w:ascii="Helvetica" w:eastAsia="Times New Roman" w:hAnsi="Helvetica" w:cs="Helvetica"/>
          <w:b/>
          <w:smallCaps/>
          <w:sz w:val="24"/>
          <w:szCs w:val="24"/>
          <w:lang w:eastAsia="it-IT"/>
        </w:rPr>
        <w:t>A</w:t>
      </w:r>
      <w:r w:rsidR="002F5C56" w:rsidRPr="00D17FE0">
        <w:rPr>
          <w:rFonts w:ascii="Helvetica" w:eastAsia="Times New Roman" w:hAnsi="Helvetica" w:cs="Helvetica"/>
          <w:b/>
          <w:smallCaps/>
          <w:sz w:val="24"/>
          <w:szCs w:val="24"/>
          <w:lang w:eastAsia="it-IT"/>
        </w:rPr>
        <w:t>LLEGATO A.1</w:t>
      </w:r>
    </w:p>
    <w:p w:rsidR="002F5C56" w:rsidRPr="00D17FE0" w:rsidRDefault="002F5C56" w:rsidP="002F5C56">
      <w:pPr>
        <w:tabs>
          <w:tab w:val="left" w:pos="825"/>
        </w:tabs>
        <w:spacing w:before="100" w:beforeAutospacing="1" w:after="100" w:afterAutospacing="1" w:line="240" w:lineRule="auto"/>
        <w:jc w:val="center"/>
        <w:rPr>
          <w:rFonts w:ascii="Helvetica" w:eastAsia="Times New Roman" w:hAnsi="Helvetica" w:cs="Helvetica"/>
          <w:b/>
          <w:smallCaps/>
          <w:sz w:val="24"/>
          <w:szCs w:val="24"/>
          <w:lang w:eastAsia="it-IT"/>
        </w:rPr>
      </w:pPr>
      <w:r w:rsidRPr="00D17FE0">
        <w:rPr>
          <w:rFonts w:ascii="Helvetica" w:eastAsia="Times New Roman" w:hAnsi="Helvetica" w:cs="Helvetica"/>
          <w:b/>
          <w:smallCaps/>
          <w:sz w:val="24"/>
          <w:szCs w:val="24"/>
          <w:lang w:eastAsia="it-IT"/>
        </w:rPr>
        <w:t xml:space="preserve">CRITERI DI AMMISSIBILITÀ E DI RENDICONTAZIONE DELLE SPESE </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1.PREMESSA:</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Conformemente a quanto previsto all’articolo 65 del Reg. (UE) n. 1303/2013 (RDC), recante disposizioni sui Fondi SIE (fondi strutturali e di investimento europei), e a quanto stabilito nel reg. (UE) n. 508/2014 relativo al fondo FEAMP, a livello nazionale l’ammissibilità della spesa è stata definita tramite il documento Linee guida per la </w:t>
      </w:r>
      <w:bookmarkStart w:id="0" w:name="_GoBack"/>
      <w:bookmarkEnd w:id="0"/>
      <w:r w:rsidRPr="00D17FE0">
        <w:rPr>
          <w:rFonts w:ascii="Helvetica" w:eastAsia="Times New Roman" w:hAnsi="Helvetica" w:cs="Helvetica"/>
          <w:sz w:val="24"/>
          <w:szCs w:val="24"/>
          <w:lang w:eastAsia="it-IT"/>
        </w:rPr>
        <w:t>determinazione delle spese ammissibili del programma FEAMP 2014/2020, recepite dalla Regione Marche con DGR n. 782</w:t>
      </w:r>
      <w:r>
        <w:rPr>
          <w:rFonts w:ascii="Helvetica" w:eastAsia="Times New Roman" w:hAnsi="Helvetica" w:cs="Helvetica"/>
          <w:sz w:val="24"/>
          <w:szCs w:val="24"/>
          <w:lang w:eastAsia="it-IT"/>
        </w:rPr>
        <w:t xml:space="preserve"> del 18/07/2016 all’allegato D.</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Il presente allegato è elaborato sulla base di tale documento.</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2. CONDIZIONI DI AMMISSIBILITÀ DI ALCUNE TIPOLOGIE DI SPESA NELLE FASI DI VALUTAZIONE E DI VERIFICA DELLE ISTANZE:</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2.1 Principi generali: l’ammissibilità della spesa</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In via generale, per essere ammissibile alla partecipazione del FEAMP la spesa deve essere:</w:t>
      </w:r>
    </w:p>
    <w:p w:rsidR="002F5C56" w:rsidRPr="00D17FE0" w:rsidRDefault="002F5C56" w:rsidP="002F5C56">
      <w:pPr>
        <w:pStyle w:val="Paragrafoelenco"/>
        <w:numPr>
          <w:ilvl w:val="0"/>
          <w:numId w:val="1"/>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Pertinente ed imputabile</w:t>
      </w:r>
      <w:r w:rsidRPr="00D17FE0">
        <w:rPr>
          <w:rFonts w:ascii="Helvetica" w:eastAsia="Times New Roman" w:hAnsi="Helvetica" w:cs="Helvetica"/>
          <w:sz w:val="24"/>
          <w:szCs w:val="24"/>
          <w:lang w:eastAsia="it-IT"/>
        </w:rPr>
        <w:t xml:space="preserve"> ad un’operazione selezionata dall’Autorità di gestione o sotto la sua responsabilità in applicazione dei criteri di selezione approvati dal Comitato di Sorveglianza, conformemente alla normativa applicabile;</w:t>
      </w:r>
    </w:p>
    <w:p w:rsidR="002F5C56" w:rsidRPr="00D17FE0" w:rsidRDefault="002F5C56" w:rsidP="002F5C56">
      <w:pPr>
        <w:pStyle w:val="Paragrafoelenco"/>
        <w:numPr>
          <w:ilvl w:val="0"/>
          <w:numId w:val="1"/>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Effettivamente sostenuta dal beneficiario</w:t>
      </w:r>
      <w:r w:rsidRPr="00D17FE0">
        <w:rPr>
          <w:rFonts w:ascii="Helvetica" w:eastAsia="Times New Roman" w:hAnsi="Helvetica" w:cs="Helvetica"/>
          <w:sz w:val="24"/>
          <w:szCs w:val="24"/>
          <w:lang w:eastAsia="it-IT"/>
        </w:rPr>
        <w:t xml:space="preserve"> e comprovata da fatture quietanzate o giustificata da documenti contabili aventi valore probatorio equivalente o, in casi debitamente giustificati, da idonea documentazione che fornisca una ragionevole garanzia che la spesa, pertinente all’operazione selezionata, sia stata effettivamente sostenuta. Inoltre la spesa deve aver dato luogo ad un pagamento verificabile secondo le modalità di cui al successivo par 3</w:t>
      </w:r>
    </w:p>
    <w:p w:rsidR="002F5C56" w:rsidRPr="00D17FE0" w:rsidRDefault="002F5C56" w:rsidP="002F5C56">
      <w:pPr>
        <w:pStyle w:val="Paragrafoelenco"/>
        <w:numPr>
          <w:ilvl w:val="0"/>
          <w:numId w:val="1"/>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Sostenuta nel periodo di ammissibilità</w:t>
      </w:r>
      <w:r w:rsidRPr="00D17FE0">
        <w:rPr>
          <w:rFonts w:ascii="Helvetica" w:eastAsia="Times New Roman" w:hAnsi="Helvetica" w:cs="Helvetica"/>
          <w:sz w:val="24"/>
          <w:szCs w:val="24"/>
          <w:lang w:eastAsia="it-IT"/>
        </w:rPr>
        <w:t>: le spese sono ammissibili al fondo FEAMP se sono state sostenute da un beneficiario e pagate nel periodo previsto dal programma così come specificato nel relativo avviso pubblico.</w:t>
      </w:r>
    </w:p>
    <w:p w:rsidR="002F5C56" w:rsidRPr="00D17FE0" w:rsidRDefault="002F5C56" w:rsidP="002F5C56">
      <w:pPr>
        <w:pStyle w:val="Paragrafoelenco"/>
        <w:numPr>
          <w:ilvl w:val="0"/>
          <w:numId w:val="1"/>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Tracciabile</w:t>
      </w:r>
      <w:r w:rsidRPr="00D17FE0">
        <w:rPr>
          <w:rFonts w:ascii="Helvetica" w:eastAsia="Times New Roman" w:hAnsi="Helvetica" w:cs="Helvetica"/>
          <w:sz w:val="24"/>
          <w:szCs w:val="24"/>
          <w:lang w:eastAsia="it-IT"/>
        </w:rPr>
        <w:t xml:space="preserve"> ovvero verificabile attraverso una corretta e completa tenuta della documentazione, al fine di assicurare, con riferimento alla spesa, l’esistenza di un’adeguata pista di controllo, in conformità con quanto previsto dal Regolamento 480/2014 e dalla normativa nazionale (L. 136/2010).</w:t>
      </w:r>
    </w:p>
    <w:p w:rsidR="002F5C56" w:rsidRPr="00D17FE0" w:rsidRDefault="002F5C56" w:rsidP="002F5C56">
      <w:pPr>
        <w:pStyle w:val="Paragrafoelenco"/>
        <w:numPr>
          <w:ilvl w:val="0"/>
          <w:numId w:val="1"/>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Contabilizzata</w:t>
      </w:r>
      <w:r w:rsidRPr="00D17FE0">
        <w:rPr>
          <w:rFonts w:ascii="Helvetica" w:eastAsia="Times New Roman" w:hAnsi="Helvetica" w:cs="Helvetica"/>
          <w:sz w:val="24"/>
          <w:szCs w:val="24"/>
          <w:lang w:eastAsia="it-IT"/>
        </w:rPr>
        <w:t>, in conformità alle disposizioni di legge ed ai principi contabili e, se del caso, sulla base delle specifiche disposizioni dell’Autorità di gestione.</w:t>
      </w:r>
    </w:p>
    <w:p w:rsidR="002F5C56" w:rsidRPr="00D17FE0" w:rsidRDefault="002F5C56" w:rsidP="002F5C56">
      <w:pPr>
        <w:pStyle w:val="Paragrafoelenco"/>
        <w:numPr>
          <w:ilvl w:val="0"/>
          <w:numId w:val="1"/>
        </w:numPr>
        <w:tabs>
          <w:tab w:val="left" w:pos="825"/>
        </w:tabs>
        <w:spacing w:after="0" w:line="240" w:lineRule="auto"/>
        <w:jc w:val="both"/>
        <w:rPr>
          <w:rFonts w:ascii="Helvetica" w:eastAsia="Times New Roman" w:hAnsi="Helvetica" w:cs="Helvetica"/>
          <w:sz w:val="24"/>
          <w:szCs w:val="24"/>
          <w:lang w:eastAsia="it-IT"/>
        </w:rPr>
      </w:pPr>
      <w:r w:rsidRPr="004C2A6B">
        <w:rPr>
          <w:rFonts w:ascii="Helvetica" w:eastAsia="Times New Roman" w:hAnsi="Helvetica" w:cs="Helvetica"/>
          <w:b/>
          <w:sz w:val="24"/>
          <w:szCs w:val="24"/>
          <w:u w:val="single"/>
          <w:lang w:eastAsia="it-IT"/>
        </w:rPr>
        <w:t>Conforme</w:t>
      </w:r>
      <w:r w:rsidRPr="00D17FE0">
        <w:rPr>
          <w:rFonts w:ascii="Helvetica" w:eastAsia="Times New Roman" w:hAnsi="Helvetica" w:cs="Helvetica"/>
          <w:sz w:val="24"/>
          <w:szCs w:val="24"/>
          <w:lang w:eastAsia="it-IT"/>
        </w:rPr>
        <w:t xml:space="preserve"> alle altre normative e politiche UE applicabili: al fine di sostenere l’applicazione, lo sviluppo, la sperimentazione e la dimostrazione di approcci integrati per l’attuazione dei piani e dei programmi in conformità alla politica e alla legislazione dell’UE, le spese sono considerate ammissibili se conformi alle regole, ove pertinenti:</w:t>
      </w:r>
    </w:p>
    <w:p w:rsidR="002F5C56" w:rsidRPr="00D17FE0" w:rsidRDefault="002F5C56" w:rsidP="002F5C56">
      <w:pPr>
        <w:pStyle w:val="Paragrafoelenco"/>
        <w:numPr>
          <w:ilvl w:val="0"/>
          <w:numId w:val="2"/>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sulla protezione dell’ambiente; </w:t>
      </w:r>
    </w:p>
    <w:p w:rsidR="002F5C56" w:rsidRPr="00D17FE0" w:rsidRDefault="002F5C56" w:rsidP="002F5C56">
      <w:pPr>
        <w:pStyle w:val="Paragrafoelenco"/>
        <w:numPr>
          <w:ilvl w:val="0"/>
          <w:numId w:val="2"/>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sul principio di uguaglianza delle opportunità;</w:t>
      </w:r>
    </w:p>
    <w:p w:rsidR="002F5C56" w:rsidRPr="00D17FE0" w:rsidRDefault="002F5C56" w:rsidP="002F5C56">
      <w:pPr>
        <w:pStyle w:val="Paragrafoelenco"/>
        <w:numPr>
          <w:ilvl w:val="0"/>
          <w:numId w:val="2"/>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u w:val="single"/>
          <w:lang w:eastAsia="it-IT"/>
        </w:rPr>
        <w:t>relative agli appalti pubblici</w:t>
      </w:r>
      <w:r w:rsidRPr="00D17FE0">
        <w:rPr>
          <w:rFonts w:ascii="Helvetica" w:eastAsia="Times New Roman" w:hAnsi="Helvetica" w:cs="Helvetica"/>
          <w:sz w:val="24"/>
          <w:szCs w:val="24"/>
          <w:lang w:eastAsia="it-IT"/>
        </w:rPr>
        <w:t xml:space="preserve">; </w:t>
      </w:r>
    </w:p>
    <w:p w:rsidR="002F5C56" w:rsidRPr="00D17FE0" w:rsidRDefault="002F5C56" w:rsidP="002F5C56">
      <w:pPr>
        <w:pStyle w:val="Paragrafoelenco"/>
        <w:numPr>
          <w:ilvl w:val="0"/>
          <w:numId w:val="2"/>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relative agli aiuti di stato;</w:t>
      </w:r>
    </w:p>
    <w:p w:rsidR="002F5C56" w:rsidRPr="00D17FE0" w:rsidRDefault="002F5C56" w:rsidP="002F5C56">
      <w:pPr>
        <w:pStyle w:val="Paragrafoelenco"/>
        <w:numPr>
          <w:ilvl w:val="0"/>
          <w:numId w:val="2"/>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u w:val="single"/>
          <w:lang w:eastAsia="it-IT"/>
        </w:rPr>
        <w:t>relative alla pubblicità</w:t>
      </w:r>
      <w:r w:rsidRPr="00D17FE0">
        <w:rPr>
          <w:rFonts w:ascii="Helvetica" w:eastAsia="Times New Roman" w:hAnsi="Helvetica" w:cs="Helvetica"/>
          <w:sz w:val="24"/>
          <w:szCs w:val="24"/>
          <w:lang w:eastAsia="it-IT"/>
        </w:rPr>
        <w:t>;</w:t>
      </w:r>
    </w:p>
    <w:p w:rsidR="002F5C56" w:rsidRPr="00D17FE0" w:rsidRDefault="002F5C56" w:rsidP="002F5C56">
      <w:pPr>
        <w:pStyle w:val="Paragrafoelenco"/>
        <w:numPr>
          <w:ilvl w:val="0"/>
          <w:numId w:val="2"/>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in materia di finanze pubbliche (rapporto costi-benefici, giustificazione, utilizzo effettivo e legale dei fondi);</w:t>
      </w:r>
    </w:p>
    <w:p w:rsidR="002F5C56" w:rsidRPr="00D17FE0" w:rsidRDefault="002F5C56" w:rsidP="002F5C56">
      <w:pPr>
        <w:pStyle w:val="Paragrafoelenco"/>
        <w:numPr>
          <w:ilvl w:val="0"/>
          <w:numId w:val="2"/>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relative alla selezione dei progetti.</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lastRenderedPageBreak/>
        <w:t>2.2 Norme specifiche in materia di ammissibilità delle spese in caso di sovvenzioni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Nel presente paragrafo sono enunciate alcune tipologie di spesa, per le quali la normativa comunitaria di riferimento prevede regole specifiche di ammissibilità o specifiche procedure armonizzate a livello nazionale.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2.2.1</w:t>
      </w:r>
      <w:r w:rsidRPr="00D17FE0">
        <w:rPr>
          <w:rFonts w:ascii="Helvetica" w:eastAsia="Times New Roman" w:hAnsi="Helvetica" w:cs="Helvetica"/>
          <w:sz w:val="24"/>
          <w:szCs w:val="24"/>
          <w:u w:val="single"/>
          <w:lang w:eastAsia="it-IT"/>
        </w:rPr>
        <w:tab/>
        <w:t>Contributi in natura</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 contributi in natura, di cui all’articolo 69, paragrafo 1, del RDC, sotto forma di forniture di opere, beni servizi terreni e immobili in relazione ai quali non è stato effettuato alcun pagamento giustificato da fatture o documenti di valore probatorio equivalente, sono ammissibili alle condizioni e nei limiti di seguito previsti: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il sostegno pubblico all’operazione non supera il totale delle spese ammissibili, al netto del valore dei contributi in natura, al termine dell’operazione;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il valore attribuito ai contributi in natura non supera i costi generalmente accettati sul mercato di riferimento;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il valore e la fornitura dei contributi sono valutati e verificati in modo indipendente;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 xml:space="preserve">nel caso di terreni o immobili, può essere eseguito un pagamento in denaro ai fini di un contratto di locazione per un importo nominale annuo non superiore ad un euro; </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nel caso di contributi in natura sotto forma di prestazione di lavoro non retribuita, il valore della prestazione è stabilito tenendo conto del tempo di lavoro trascorso e verificato il tasso di remunerazione per una prestazione di lavoro equivalente.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 contributi in natura non costituiscono spese ammissibili nell’ambito degli strumenti finanziari, fatto salvo quanto previsto dall’articolo 37, paragrafo 10, del RDC</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2.2.2</w:t>
      </w:r>
      <w:r w:rsidRPr="00D17FE0">
        <w:rPr>
          <w:rFonts w:ascii="Helvetica" w:eastAsia="Times New Roman" w:hAnsi="Helvetica" w:cs="Helvetica"/>
          <w:sz w:val="24"/>
          <w:szCs w:val="24"/>
          <w:u w:val="single"/>
          <w:lang w:eastAsia="it-IT"/>
        </w:rPr>
        <w:tab/>
        <w:t>Ammortamento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di ammortamento di beni riconducibili all’operazione, vanno calcolate in maniera conforme alla normativa vigente.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Gli ammortamenti sono ammissibili, salvo diversa disposizione che ne escluda l’ammissibilità, alle seguenti condizioni: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l'importo della spesa è debitamente giustificato da documenti con un valore probatorio equivalente alle fatture per costi ammissibili quando rimborsato nella forma di cui all'articolo 67, paragrafo 1, primo comma, lettera a), del RDC;</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 costi, calcolati secondo le tabelle ministeriali, si riferiscono esclusivamente al periodo di sostegno all'operazione su cespiti registrati nel relativo libro;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all'acquisto dei beni per i quali viene richiesta l’ammissibilità degli ammortamenti non hanno contribuito sovvenzioni pubbliche.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2.2.3</w:t>
      </w:r>
      <w:r w:rsidRPr="00D17FE0">
        <w:rPr>
          <w:rFonts w:ascii="Helvetica" w:eastAsia="Times New Roman" w:hAnsi="Helvetica" w:cs="Helvetica"/>
          <w:sz w:val="24"/>
          <w:szCs w:val="24"/>
          <w:u w:val="single"/>
          <w:lang w:eastAsia="it-IT"/>
        </w:rPr>
        <w:tab/>
        <w:t>Importi liquidati dalla P.A.</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Ai sensi della normativa vigente, nell’ambito dell’attuazione di un’operazione, gli importi liquidati dalla Pubblica Amministrazione per sanare le inottemperanze contributive di un beneficiario o di un aggiudicatario di un contratto pubblico costituiscono spesa ammissibile.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Pr>
          <w:rFonts w:ascii="Helvetica" w:eastAsia="Times New Roman" w:hAnsi="Helvetica" w:cs="Helvetica"/>
          <w:sz w:val="24"/>
          <w:szCs w:val="24"/>
          <w:u w:val="single"/>
          <w:lang w:eastAsia="it-IT"/>
        </w:rPr>
        <w:t>4</w:t>
      </w:r>
      <w:r w:rsidRPr="00D17FE0">
        <w:rPr>
          <w:rFonts w:ascii="Helvetica" w:eastAsia="Times New Roman" w:hAnsi="Helvetica" w:cs="Helvetica"/>
          <w:sz w:val="24"/>
          <w:szCs w:val="24"/>
          <w:u w:val="single"/>
          <w:lang w:eastAsia="it-IT"/>
        </w:rPr>
        <w:tab/>
        <w:t>IVA altre imposte e tasse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In base a quanto disposto dal RDC articolo 69, paragrafo 3, lettera c, l’imposta sul valore aggiunto (IVA) realmente e definitivamente sostenuta dal beneficiario è una spesa ammissibile solo se questa non sia recuperabile, nel rispetto della normativa nazionale di riferimento.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Costituiscono inoltre spesa ammissibile: </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L'imposta di registro, in quanto afferente a un'operazione;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lastRenderedPageBreak/>
        <w:t>•</w:t>
      </w:r>
      <w:r w:rsidRPr="00D17FE0">
        <w:rPr>
          <w:rFonts w:ascii="Helvetica" w:eastAsia="Times New Roman" w:hAnsi="Helvetica" w:cs="Helvetica"/>
          <w:sz w:val="24"/>
          <w:szCs w:val="24"/>
          <w:lang w:eastAsia="it-IT"/>
        </w:rPr>
        <w:tab/>
        <w:t>ogni altro tributo od onere fiscale, previdenziale e assicurativo per operazioni cofinanziate da parte dei fondi SIE, nel limite in cui non sia recuperabile dal beneficiario.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Pr>
          <w:rFonts w:ascii="Helvetica" w:eastAsia="Times New Roman" w:hAnsi="Helvetica" w:cs="Helvetica"/>
          <w:sz w:val="24"/>
          <w:szCs w:val="24"/>
          <w:u w:val="single"/>
          <w:lang w:eastAsia="it-IT"/>
        </w:rPr>
        <w:t>5</w:t>
      </w:r>
      <w:r w:rsidRPr="00D17FE0">
        <w:rPr>
          <w:rFonts w:ascii="Helvetica" w:eastAsia="Times New Roman" w:hAnsi="Helvetica" w:cs="Helvetica"/>
          <w:sz w:val="24"/>
          <w:szCs w:val="24"/>
          <w:u w:val="single"/>
          <w:lang w:eastAsia="it-IT"/>
        </w:rPr>
        <w:tab/>
        <w:t>Acquisto di beni materiali nuovi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Il costo sostenuto per l’acquisto di beni materiali nuovi è ritenuto ammissibile. Nella scelta del fornitore del bene da acquisire, quali a titolo esemplificativo e non esaustivo impianti, macchinari, attrezzature </w:t>
      </w:r>
      <w:proofErr w:type="spellStart"/>
      <w:r w:rsidRPr="00D17FE0">
        <w:rPr>
          <w:rFonts w:ascii="Helvetica" w:eastAsia="Times New Roman" w:hAnsi="Helvetica" w:cs="Helvetica"/>
          <w:sz w:val="24"/>
          <w:szCs w:val="24"/>
          <w:lang w:eastAsia="it-IT"/>
        </w:rPr>
        <w:t>ecc</w:t>
      </w:r>
      <w:proofErr w:type="spellEnd"/>
      <w:r w:rsidRPr="00D17FE0">
        <w:rPr>
          <w:rFonts w:ascii="Helvetica" w:eastAsia="Times New Roman" w:hAnsi="Helvetica" w:cs="Helvetica"/>
          <w:sz w:val="24"/>
          <w:szCs w:val="24"/>
          <w:lang w:eastAsia="it-IT"/>
        </w:rPr>
        <w:t xml:space="preserve">, il beneficiario, nel caso in cui non sia obbligato al rispetto delle norme previste dal Codice degli appalti ai sensi del D.lgs. 50/2016 e </w:t>
      </w:r>
      <w:proofErr w:type="spellStart"/>
      <w:r w:rsidRPr="00D17FE0">
        <w:rPr>
          <w:rFonts w:ascii="Helvetica" w:eastAsia="Times New Roman" w:hAnsi="Helvetica" w:cs="Helvetica"/>
          <w:sz w:val="24"/>
          <w:szCs w:val="24"/>
          <w:lang w:eastAsia="it-IT"/>
        </w:rPr>
        <w:t>ss.mm.ii</w:t>
      </w:r>
      <w:proofErr w:type="spellEnd"/>
      <w:r w:rsidRPr="00D17FE0">
        <w:rPr>
          <w:rFonts w:ascii="Helvetica" w:eastAsia="Times New Roman" w:hAnsi="Helvetica" w:cs="Helvetica"/>
          <w:sz w:val="24"/>
          <w:szCs w:val="24"/>
          <w:lang w:eastAsia="it-IT"/>
        </w:rPr>
        <w:t>., deve seguire procedure ispirate a criteri di uniformità e trasparenza al fine di garantire i principi di pubblicizzazione, della trasparenza e della parità di trattamento. I beni acquistati devono essere nuovi e privi di vincoli o ipoteche e devono essere sempre comprovati da fatture o da altri documenti contabili.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Pr>
          <w:rFonts w:ascii="Helvetica" w:eastAsia="Times New Roman" w:hAnsi="Helvetica" w:cs="Helvetica"/>
          <w:sz w:val="24"/>
          <w:szCs w:val="24"/>
          <w:u w:val="single"/>
          <w:lang w:eastAsia="it-IT"/>
        </w:rPr>
        <w:t>6</w:t>
      </w:r>
      <w:r w:rsidRPr="00D17FE0">
        <w:rPr>
          <w:rFonts w:ascii="Helvetica" w:eastAsia="Times New Roman" w:hAnsi="Helvetica" w:cs="Helvetica"/>
          <w:sz w:val="24"/>
          <w:szCs w:val="24"/>
          <w:u w:val="single"/>
          <w:lang w:eastAsia="it-IT"/>
        </w:rPr>
        <w:tab/>
        <w:t>Acquisto di materiale usato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Il costo relativo all'acquisto di materiale usato è ritenuto ammissibile se sono soddisfatte le seguenti tre condizioni: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il venditore rilascia una dichiarazione attestante la provenienza esatta del materiale e che lo stesso, nel corso degli ultimi sette anni, non ha beneficiato di un contributo nazionale o comunitario;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 xml:space="preserve">il prezzo del materiale usato non è superiore al suo valore di mercato ed è inferiore al costo di materiale simile nuovo; </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le caratteristiche tecniche del materiale usato acquisito sono adeguate alle esigenze dell'operazione e sono conformi alle norme e agli standard pertinenti.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Pr>
          <w:rFonts w:ascii="Helvetica" w:eastAsia="Times New Roman" w:hAnsi="Helvetica" w:cs="Helvetica"/>
          <w:sz w:val="24"/>
          <w:szCs w:val="24"/>
          <w:u w:val="single"/>
          <w:lang w:eastAsia="it-IT"/>
        </w:rPr>
        <w:t>7</w:t>
      </w:r>
      <w:r w:rsidRPr="00D17FE0">
        <w:rPr>
          <w:rFonts w:ascii="Helvetica" w:eastAsia="Times New Roman" w:hAnsi="Helvetica" w:cs="Helvetica"/>
          <w:sz w:val="24"/>
          <w:szCs w:val="24"/>
          <w:u w:val="single"/>
          <w:lang w:eastAsia="it-IT"/>
        </w:rPr>
        <w:tab/>
        <w:t>Acquisto di terreni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L'acquisto di terreni rappresenta una spesa ammissibile, alle seguenti condizioni: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w:t>
      </w:r>
      <w:r w:rsidRPr="00D17FE0">
        <w:rPr>
          <w:rFonts w:ascii="Helvetica" w:eastAsia="Times New Roman" w:hAnsi="Helvetica" w:cs="Helvetica"/>
          <w:sz w:val="24"/>
          <w:szCs w:val="24"/>
          <w:lang w:eastAsia="it-IT"/>
        </w:rPr>
        <w:tab/>
        <w:t xml:space="preserve">la sussistenza di un nesso diretto fra l'acquisto del terreno e gli obiettivi dell'operazione; </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b)</w:t>
      </w:r>
      <w:r w:rsidRPr="00D17FE0">
        <w:rPr>
          <w:rFonts w:ascii="Helvetica" w:eastAsia="Times New Roman" w:hAnsi="Helvetica" w:cs="Helvetica"/>
          <w:sz w:val="24"/>
          <w:szCs w:val="24"/>
          <w:lang w:eastAsia="it-IT"/>
        </w:rPr>
        <w:tab/>
        <w:t>la percentuale rappresentata dall'acquisto del terreno non può superare il 10 per cento della spesa totale ammissibile dell'operazione considerata, esclusa la spesa connessa al terreno, con l'eccezione dei siti in stato di degrado e per le operazioni finalizzate alla tutela dell’ambiente;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c)</w:t>
      </w:r>
      <w:r w:rsidRPr="00D17FE0">
        <w:rPr>
          <w:rFonts w:ascii="Helvetica" w:eastAsia="Times New Roman" w:hAnsi="Helvetica" w:cs="Helvetica"/>
          <w:sz w:val="24"/>
          <w:szCs w:val="24"/>
          <w:lang w:eastAsia="it-IT"/>
        </w:rPr>
        <w:tab/>
        <w:t>il beneficiario deve presentare una perizia giurata di stima redatta da un esperto qualificato e indipendente o un organismo debitamente autorizzato che attesti il valore di mercato del terreno.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Si segnala inoltre che, per i siti in stato di degrado e per quelli precedentemente adibiti a uso industriale che comprendono edifici, il limite della spesa rappresentata dall'acquisto del terreno è pari al 15%. </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Nel caso di operazioni a tutela dell'ambiente, la spesa per l'acquisto di terreni può essere ammessa per una percentuale superiore al 15% quando sono rispettate tutte le seguenti condizioni: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w:t>
      </w:r>
      <w:r w:rsidRPr="00D17FE0">
        <w:rPr>
          <w:rFonts w:ascii="Helvetica" w:eastAsia="Times New Roman" w:hAnsi="Helvetica" w:cs="Helvetica"/>
          <w:sz w:val="24"/>
          <w:szCs w:val="24"/>
          <w:lang w:eastAsia="it-IT"/>
        </w:rPr>
        <w:tab/>
        <w:t xml:space="preserve">l'acquisto è stato effettuato sulla base di giustificati motivi e di una decisione positiva da parte dell'Autorità di gestione; </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b)</w:t>
      </w:r>
      <w:r w:rsidRPr="00D17FE0">
        <w:rPr>
          <w:rFonts w:ascii="Helvetica" w:eastAsia="Times New Roman" w:hAnsi="Helvetica" w:cs="Helvetica"/>
          <w:sz w:val="24"/>
          <w:szCs w:val="24"/>
          <w:lang w:eastAsia="it-IT"/>
        </w:rPr>
        <w:tab/>
        <w:t xml:space="preserve">il terreno è destinato all'uso stabilito per un periodo determinato, in presenza di un nesso diretto tra l’acquisto del terreno e gli obiettivi dell’operazione sempre come indicato sul punto precedente tramite approvazione della </w:t>
      </w:r>
      <w:proofErr w:type="spellStart"/>
      <w:r w:rsidRPr="00D17FE0">
        <w:rPr>
          <w:rFonts w:ascii="Helvetica" w:eastAsia="Times New Roman" w:hAnsi="Helvetica" w:cs="Helvetica"/>
          <w:sz w:val="24"/>
          <w:szCs w:val="24"/>
          <w:lang w:eastAsia="it-IT"/>
        </w:rPr>
        <w:t>AdG</w:t>
      </w:r>
      <w:proofErr w:type="spellEnd"/>
      <w:r w:rsidRPr="00D17FE0">
        <w:rPr>
          <w:rFonts w:ascii="Helvetica" w:eastAsia="Times New Roman" w:hAnsi="Helvetica" w:cs="Helvetica"/>
          <w:sz w:val="24"/>
          <w:szCs w:val="24"/>
          <w:lang w:eastAsia="it-IT"/>
        </w:rPr>
        <w:t>;</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c)</w:t>
      </w:r>
      <w:r w:rsidRPr="00D17FE0">
        <w:rPr>
          <w:rFonts w:ascii="Helvetica" w:eastAsia="Times New Roman" w:hAnsi="Helvetica" w:cs="Helvetica"/>
          <w:sz w:val="24"/>
          <w:szCs w:val="24"/>
          <w:lang w:eastAsia="it-IT"/>
        </w:rPr>
        <w:tab/>
        <w:t>il terreno non ha una destinazione agricola, salvo in casi debitamente giustificati decisi dall'Autorità di gestione;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d)</w:t>
      </w:r>
      <w:r w:rsidRPr="00D17FE0">
        <w:rPr>
          <w:rFonts w:ascii="Helvetica" w:eastAsia="Times New Roman" w:hAnsi="Helvetica" w:cs="Helvetica"/>
          <w:sz w:val="24"/>
          <w:szCs w:val="24"/>
          <w:lang w:eastAsia="it-IT"/>
        </w:rPr>
        <w:tab/>
        <w:t>l'acquisto è effettuato da parte o per conto di un'istituzione pubblica o di un organismo di diritto pubblico.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lastRenderedPageBreak/>
        <w:t>2.2.</w:t>
      </w:r>
      <w:r>
        <w:rPr>
          <w:rFonts w:ascii="Helvetica" w:eastAsia="Times New Roman" w:hAnsi="Helvetica" w:cs="Helvetica"/>
          <w:sz w:val="24"/>
          <w:szCs w:val="24"/>
          <w:u w:val="single"/>
          <w:lang w:eastAsia="it-IT"/>
        </w:rPr>
        <w:t>8</w:t>
      </w:r>
      <w:r w:rsidRPr="00D17FE0">
        <w:rPr>
          <w:rFonts w:ascii="Helvetica" w:eastAsia="Times New Roman" w:hAnsi="Helvetica" w:cs="Helvetica"/>
          <w:sz w:val="24"/>
          <w:szCs w:val="24"/>
          <w:u w:val="single"/>
          <w:lang w:eastAsia="it-IT"/>
        </w:rPr>
        <w:tab/>
        <w:t>Acquisto di edifici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L'acquisto di edifici già costruiti è considerata spesa ammissibile se è direttamente connessa all'operazione e presenta le seguenti caratteristiche: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la presentazione di una perizia giurata di stima, redatta da un esperto qualificato e indipendente o da un organismo debitamente autorizzato che attesti il valore di mercato del bene, nonché la conformità dell'immobile alla normativa nazionale oppure che espliciti i punti non conformi quando l'operazione prevede la loro regolarizzazione da parte del beneficiario;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l'immobile non ha fruito, nel corso dei dieci anni precedenti, di un finanziamento pubblico, nazionale o comunitario;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w:t>
      </w:r>
      <w:r w:rsidRPr="00D17FE0">
        <w:rPr>
          <w:rFonts w:ascii="Helvetica" w:eastAsia="Times New Roman" w:hAnsi="Helvetica" w:cs="Helvetica"/>
          <w:sz w:val="24"/>
          <w:szCs w:val="24"/>
          <w:lang w:eastAsia="it-IT"/>
        </w:rPr>
        <w:tab/>
        <w:t>l'immobile è utilizzato per la destinazione e per il periodo stabiliti dall'Autorità di gestione, conformemente alle finalità dell'operazione.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Pr>
          <w:rFonts w:ascii="Helvetica" w:eastAsia="Times New Roman" w:hAnsi="Helvetica" w:cs="Helvetica"/>
          <w:sz w:val="24"/>
          <w:szCs w:val="24"/>
          <w:u w:val="single"/>
          <w:lang w:eastAsia="it-IT"/>
        </w:rPr>
        <w:t>9</w:t>
      </w:r>
      <w:r w:rsidRPr="00D17FE0">
        <w:rPr>
          <w:rFonts w:ascii="Helvetica" w:eastAsia="Times New Roman" w:hAnsi="Helvetica" w:cs="Helvetica"/>
          <w:sz w:val="24"/>
          <w:szCs w:val="24"/>
          <w:u w:val="single"/>
          <w:lang w:eastAsia="it-IT"/>
        </w:rPr>
        <w:tab/>
        <w:t>Locazione finanziaria – leasing</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Fatta salva l'ammissibilità della spesa per locazione semplice o per noleggio, la spesa per la locazione finanziaria (leasing) è ammissibile al cofinanziamento alle seguenti condizioni: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w:t>
      </w:r>
      <w:r w:rsidRPr="00D17FE0">
        <w:rPr>
          <w:rFonts w:ascii="Helvetica" w:eastAsia="Times New Roman" w:hAnsi="Helvetica" w:cs="Helvetica"/>
          <w:sz w:val="24"/>
          <w:szCs w:val="24"/>
          <w:lang w:eastAsia="it-IT"/>
        </w:rPr>
        <w:tab/>
        <w:t>nel caso in cui il beneficiario del cofinanziamento sia il concedente: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w:t>
      </w:r>
      <w:r w:rsidRPr="00D17FE0">
        <w:rPr>
          <w:rFonts w:ascii="Helvetica" w:eastAsia="Times New Roman" w:hAnsi="Helvetica" w:cs="Helvetica"/>
          <w:sz w:val="24"/>
          <w:szCs w:val="24"/>
          <w:lang w:eastAsia="it-IT"/>
        </w:rPr>
        <w:tab/>
        <w:t xml:space="preserve">il cofinanziamento è utilizzato al fine di ridurre l'importo dei canoni versati dall'utilizzatore del bene oggetto del contratto di locazione finanziaria; </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ii.</w:t>
      </w:r>
      <w:r w:rsidRPr="00D17FE0">
        <w:rPr>
          <w:rFonts w:ascii="Helvetica" w:eastAsia="Times New Roman" w:hAnsi="Helvetica" w:cs="Helvetica"/>
          <w:sz w:val="24"/>
          <w:szCs w:val="24"/>
          <w:lang w:eastAsia="it-IT"/>
        </w:rPr>
        <w:tab/>
        <w:t>i contratti di locazione finanziaria comportano una clausola di riacquisto oppure prevedono una durata minima pari alla vita utile del bene oggetto del contratto;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iii.</w:t>
      </w:r>
      <w:r w:rsidRPr="00D17FE0">
        <w:rPr>
          <w:rFonts w:ascii="Helvetica" w:eastAsia="Times New Roman" w:hAnsi="Helvetica" w:cs="Helvetica"/>
          <w:sz w:val="24"/>
          <w:szCs w:val="24"/>
          <w:lang w:eastAsia="it-IT"/>
        </w:rPr>
        <w:tab/>
        <w:t>in caso di risoluzione del contratto prima della scadenza del periodo di durata minima, senza la previa approvazione delle autorità competenti, il concedente si impegna a restituire alle autorità nazionali interessate, mediante accredito al fondo appropriato, la parte della sovvenzione comunitaria corrispondente al periodo residuo;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iv.</w:t>
      </w:r>
      <w:r w:rsidRPr="00D17FE0">
        <w:rPr>
          <w:rFonts w:ascii="Helvetica" w:eastAsia="Times New Roman" w:hAnsi="Helvetica" w:cs="Helvetica"/>
          <w:sz w:val="24"/>
          <w:szCs w:val="24"/>
          <w:lang w:eastAsia="it-IT"/>
        </w:rPr>
        <w:tab/>
        <w:t>l'acquisto del bene da parte del concedente, comprovato da una fattura quietanzata o da un documento contabile avente forza probatoria equivalente, costituisce la spesa ammissibile al cofinanziamento; l'importo massimo ammissibile non può superare il valore di mercato del bene dato in locazione;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v.</w:t>
      </w:r>
      <w:r w:rsidRPr="00D17FE0">
        <w:rPr>
          <w:rFonts w:ascii="Helvetica" w:eastAsia="Times New Roman" w:hAnsi="Helvetica" w:cs="Helvetica"/>
          <w:sz w:val="24"/>
          <w:szCs w:val="24"/>
          <w:lang w:eastAsia="it-IT"/>
        </w:rPr>
        <w:tab/>
        <w:t>non sono ammissibili le spese attinenti al contratto di leasing non indicate al precedente punto iv), tra cui le tasse, il margine del concedente, i costi di rifinanziamento degli interessi, le spese generali, gli oneri assicurativi;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vi.</w:t>
      </w:r>
      <w:r w:rsidRPr="00D17FE0">
        <w:rPr>
          <w:rFonts w:ascii="Helvetica" w:eastAsia="Times New Roman" w:hAnsi="Helvetica" w:cs="Helvetica"/>
          <w:sz w:val="24"/>
          <w:szCs w:val="24"/>
          <w:lang w:eastAsia="it-IT"/>
        </w:rPr>
        <w:tab/>
        <w:t>l'aiuto versato al concedente è utilizzato interamente a vantaggio dell'utilizzatore mediante una riduzione uniforme di tutti i canoni pagati nel periodo contrattuale;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vii.</w:t>
      </w:r>
      <w:r w:rsidRPr="00D17FE0">
        <w:rPr>
          <w:rFonts w:ascii="Helvetica" w:eastAsia="Times New Roman" w:hAnsi="Helvetica" w:cs="Helvetica"/>
          <w:sz w:val="24"/>
          <w:szCs w:val="24"/>
          <w:lang w:eastAsia="it-IT"/>
        </w:rPr>
        <w:tab/>
        <w:t>il concedente dimostra che il beneficio dell'aiuto è trasferito interamente all'utilizzatore, elaborando una distinta dei pagamenti dei canoni o con un metodo alternativo che fornisca assicurazioni equivalenti.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b)</w:t>
      </w:r>
      <w:r w:rsidRPr="00D17FE0">
        <w:rPr>
          <w:rFonts w:ascii="Helvetica" w:eastAsia="Times New Roman" w:hAnsi="Helvetica" w:cs="Helvetica"/>
          <w:sz w:val="24"/>
          <w:szCs w:val="24"/>
          <w:lang w:eastAsia="it-IT"/>
        </w:rPr>
        <w:tab/>
        <w:t>nel caso in cui il beneficiario del cofinanziamento sia l'utilizzatore: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w:t>
      </w:r>
      <w:r w:rsidRPr="00D17FE0">
        <w:rPr>
          <w:rFonts w:ascii="Helvetica" w:eastAsia="Times New Roman" w:hAnsi="Helvetica" w:cs="Helvetica"/>
          <w:sz w:val="24"/>
          <w:szCs w:val="24"/>
          <w:lang w:eastAsia="it-IT"/>
        </w:rPr>
        <w:tab/>
        <w:t>i canoni pagati dall'utilizzatore al concedente, comprovati da una fattura quietanzata o da un documento contabile avente forza probatoria equivalente, costituiscono la spesa ammissibile;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ii.</w:t>
      </w:r>
      <w:r w:rsidRPr="00D17FE0">
        <w:rPr>
          <w:rFonts w:ascii="Helvetica" w:eastAsia="Times New Roman" w:hAnsi="Helvetica" w:cs="Helvetica"/>
          <w:sz w:val="24"/>
          <w:szCs w:val="24"/>
          <w:lang w:eastAsia="it-IT"/>
        </w:rPr>
        <w:tab/>
        <w:t>nel caso di contratti di locazione finanziaria contenenti una clausola di riacquisto o che prevedono una durata contrattuale minima corrispondente alla vita utile del bene, l'importo massimo ammissibile non può superare il valore di mercato del bene; non sono ammissibili le altre spese connesse al contratto, tra cui tributi, interessi, costi di rifinanziamento interessi, spese generali, oneri assicurativi;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iii.</w:t>
      </w:r>
      <w:r w:rsidRPr="00D17FE0">
        <w:rPr>
          <w:rFonts w:ascii="Helvetica" w:eastAsia="Times New Roman" w:hAnsi="Helvetica" w:cs="Helvetica"/>
          <w:sz w:val="24"/>
          <w:szCs w:val="24"/>
          <w:lang w:eastAsia="it-IT"/>
        </w:rPr>
        <w:tab/>
        <w:t>l'aiuto relativo ai contratti di locazione finanziaria, di cui al precedente punto ii, è versato all'utilizzatore in una o più quote sulla base dei canoni effettivamente pagati; se la durata del contratto supera il termine finale per la contabilizzazione dei pagamenti ai fini dell'intervento cofinanziato, è ammissibile soltanto la spesa relativa ai canoni esigibili e pagati dall'utilizzatore sino al termine finale stabilito per i pagamenti ai fini dell'intervento;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lastRenderedPageBreak/>
        <w:t>iv.</w:t>
      </w:r>
      <w:r w:rsidRPr="00D17FE0">
        <w:rPr>
          <w:rFonts w:ascii="Helvetica" w:eastAsia="Times New Roman" w:hAnsi="Helvetica" w:cs="Helvetica"/>
          <w:sz w:val="24"/>
          <w:szCs w:val="24"/>
          <w:lang w:eastAsia="it-IT"/>
        </w:rPr>
        <w:tab/>
        <w:t>nel caso di contratti di locazione finanziaria che non contengono un patto di retrovendita e la cui durata è inferiore al periodo di vita utile del bene oggetto del contratto, i canoni sono ammissibili in proporzione alla durata dell'operazione ammissibile; è onere dell'utilizzatore dimostrare che la locazione finanziaria costituisce il metodo più economico per acquisire l'uso del bene; nel caso in cui risulti che i costi sono inferiori utilizzando un metodo alternativo, quale la locazione semplice del bene, i costi supplementari sono detratti dalla spesa ammissibile;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c)</w:t>
      </w:r>
      <w:r w:rsidRPr="00D17FE0">
        <w:rPr>
          <w:rFonts w:ascii="Helvetica" w:eastAsia="Times New Roman" w:hAnsi="Helvetica" w:cs="Helvetica"/>
          <w:sz w:val="24"/>
          <w:szCs w:val="24"/>
          <w:lang w:eastAsia="it-IT"/>
        </w:rPr>
        <w:tab/>
        <w:t>i canoni pagati dall'utilizzatore in forza di un contratto di vendita e conseguente retro locazione finanziaria (</w:t>
      </w:r>
      <w:proofErr w:type="spellStart"/>
      <w:r w:rsidRPr="00D17FE0">
        <w:rPr>
          <w:rFonts w:ascii="Helvetica" w:eastAsia="Times New Roman" w:hAnsi="Helvetica" w:cs="Helvetica"/>
          <w:sz w:val="24"/>
          <w:szCs w:val="24"/>
          <w:lang w:eastAsia="it-IT"/>
        </w:rPr>
        <w:t>lease</w:t>
      </w:r>
      <w:proofErr w:type="spellEnd"/>
      <w:r w:rsidRPr="00D17FE0">
        <w:rPr>
          <w:rFonts w:ascii="Helvetica" w:eastAsia="Times New Roman" w:hAnsi="Helvetica" w:cs="Helvetica"/>
          <w:sz w:val="24"/>
          <w:szCs w:val="24"/>
          <w:lang w:eastAsia="it-IT"/>
        </w:rPr>
        <w:t>-back), sono spese ammissibili ai sensi della precedente lettera b). I costi di acquisto del bene non sono ammissibili.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w:t>
      </w:r>
      <w:r>
        <w:rPr>
          <w:rFonts w:ascii="Helvetica" w:eastAsia="Times New Roman" w:hAnsi="Helvetica" w:cs="Helvetica"/>
          <w:sz w:val="24"/>
          <w:szCs w:val="24"/>
          <w:u w:val="single"/>
          <w:lang w:eastAsia="it-IT"/>
        </w:rPr>
        <w:t>10</w:t>
      </w:r>
      <w:r w:rsidRPr="00D17FE0">
        <w:rPr>
          <w:rFonts w:ascii="Helvetica" w:eastAsia="Times New Roman" w:hAnsi="Helvetica" w:cs="Helvetica"/>
          <w:sz w:val="24"/>
          <w:szCs w:val="24"/>
          <w:u w:val="single"/>
          <w:lang w:eastAsia="it-IT"/>
        </w:rPr>
        <w:tab/>
        <w:t>Investimenti immateriali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Gli investimenti immateriali sono considerati ammissibili se direttamente connessi alle finalità delle operazioni finanziate. Con riferimento alle misure strutturali gli investimenti immateriali quali: ricerche di mercato, studi, attività divulgative sono ammissibili solo se funzionali al progetto finanziato. </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Per tale tipologia di costo, in fase di scelta del fornitore, il beneficiario, nel caso in cui non sia obbligato al rispetto delle norme previste dal Codice degli appalti ai sensi del D.lgs. 50/2016 e </w:t>
      </w:r>
      <w:proofErr w:type="spellStart"/>
      <w:r w:rsidRPr="00D17FE0">
        <w:rPr>
          <w:rFonts w:ascii="Helvetica" w:eastAsia="Times New Roman" w:hAnsi="Helvetica" w:cs="Helvetica"/>
          <w:sz w:val="24"/>
          <w:szCs w:val="24"/>
          <w:lang w:eastAsia="it-IT"/>
        </w:rPr>
        <w:t>ss.mm.ii</w:t>
      </w:r>
      <w:proofErr w:type="spellEnd"/>
      <w:r w:rsidRPr="00D17FE0">
        <w:rPr>
          <w:rFonts w:ascii="Helvetica" w:eastAsia="Times New Roman" w:hAnsi="Helvetica" w:cs="Helvetica"/>
          <w:sz w:val="24"/>
          <w:szCs w:val="24"/>
          <w:lang w:eastAsia="it-IT"/>
        </w:rPr>
        <w:t>.., deve seguire procedure ispirate a criteri di uniformità e trasparenza al fine di garantire i principi di pubblicizzazione, della trasparenza e della parità di trattamento.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2.2.1</w:t>
      </w:r>
      <w:r>
        <w:rPr>
          <w:rFonts w:ascii="Helvetica" w:eastAsia="Times New Roman" w:hAnsi="Helvetica" w:cs="Helvetica"/>
          <w:sz w:val="24"/>
          <w:szCs w:val="24"/>
          <w:u w:val="single"/>
          <w:lang w:eastAsia="it-IT"/>
        </w:rPr>
        <w:t>1</w:t>
      </w:r>
      <w:r w:rsidRPr="00D17FE0">
        <w:rPr>
          <w:rFonts w:ascii="Helvetica" w:eastAsia="Times New Roman" w:hAnsi="Helvetica" w:cs="Helvetica"/>
          <w:sz w:val="24"/>
          <w:szCs w:val="24"/>
          <w:u w:val="single"/>
          <w:lang w:eastAsia="it-IT"/>
        </w:rPr>
        <w:tab/>
        <w:t>Affitto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di affitto sono ammissibili a condizione che siano rispettate congiuntamente le tre condizioni seguenti:</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w:t>
      </w:r>
      <w:r w:rsidRPr="00D17FE0">
        <w:rPr>
          <w:rFonts w:ascii="Helvetica" w:eastAsia="Times New Roman" w:hAnsi="Helvetica" w:cs="Helvetica"/>
          <w:sz w:val="24"/>
          <w:szCs w:val="24"/>
          <w:lang w:eastAsia="it-IT"/>
        </w:rPr>
        <w:tab/>
        <w:t>siano legate all’operazione,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b)</w:t>
      </w:r>
      <w:r w:rsidRPr="00D17FE0">
        <w:rPr>
          <w:rFonts w:ascii="Helvetica" w:eastAsia="Times New Roman" w:hAnsi="Helvetica" w:cs="Helvetica"/>
          <w:sz w:val="24"/>
          <w:szCs w:val="24"/>
          <w:lang w:eastAsia="it-IT"/>
        </w:rPr>
        <w:tab/>
        <w:t>siano utilizzate direttamente per la realizzazione dell’operazione e, se del caso, siano calcolate sulla base di un equo criterio di ripartizione,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c)</w:t>
      </w:r>
      <w:r w:rsidRPr="00D17FE0">
        <w:rPr>
          <w:rFonts w:ascii="Helvetica" w:eastAsia="Times New Roman" w:hAnsi="Helvetica" w:cs="Helvetica"/>
          <w:sz w:val="24"/>
          <w:szCs w:val="24"/>
          <w:lang w:eastAsia="it-IT"/>
        </w:rPr>
        <w:tab/>
        <w:t>siano giustificate dalle copie delle fatture o documenti di valore probatorio equivalente, accompagnate dalla copia del contratto di affitto.</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p>
    <w:p w:rsidR="002F5C56" w:rsidRPr="00D17FE0" w:rsidRDefault="002F5C56" w:rsidP="002F5C56">
      <w:pPr>
        <w:tabs>
          <w:tab w:val="left" w:pos="825"/>
        </w:tabs>
        <w:spacing w:after="0" w:line="240" w:lineRule="auto"/>
        <w:jc w:val="both"/>
        <w:rPr>
          <w:rFonts w:ascii="Helvetica" w:eastAsia="Times New Roman" w:hAnsi="Helvetica" w:cs="Helvetica"/>
          <w:sz w:val="24"/>
          <w:szCs w:val="24"/>
          <w:u w:val="single"/>
          <w:lang w:eastAsia="it-IT"/>
        </w:rPr>
      </w:pPr>
      <w:r w:rsidRPr="00D17FE0">
        <w:rPr>
          <w:rFonts w:ascii="Helvetica" w:eastAsia="Times New Roman" w:hAnsi="Helvetica" w:cs="Helvetica"/>
          <w:sz w:val="24"/>
          <w:szCs w:val="24"/>
          <w:u w:val="single"/>
          <w:lang w:eastAsia="it-IT"/>
        </w:rPr>
        <w:t>2.2.1</w:t>
      </w:r>
      <w:r>
        <w:rPr>
          <w:rFonts w:ascii="Helvetica" w:eastAsia="Times New Roman" w:hAnsi="Helvetica" w:cs="Helvetica"/>
          <w:sz w:val="24"/>
          <w:szCs w:val="24"/>
          <w:u w:val="single"/>
          <w:lang w:eastAsia="it-IT"/>
        </w:rPr>
        <w:t>2</w:t>
      </w:r>
      <w:r w:rsidRPr="00D17FE0">
        <w:rPr>
          <w:rFonts w:ascii="Helvetica" w:eastAsia="Times New Roman" w:hAnsi="Helvetica" w:cs="Helvetica"/>
          <w:sz w:val="24"/>
          <w:szCs w:val="24"/>
          <w:u w:val="single"/>
          <w:lang w:eastAsia="it-IT"/>
        </w:rPr>
        <w:t xml:space="preserve"> Spese generali, spese tecniche e spese per la pubblicità</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Sono ammissibili al contributo del presente bando le spese generali, le spese tecniche, di progettazione, direzione lavori e le spese per la pubblicizzazione dell’investimento (targhe esplicative e cartellonistica), il tutto nel limite del 10% del totale delle spese preventivate e ritenute ammissibili, al netto delle spese stesse.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Sono inoltre ammissibili sempre nel limite sopra indicato</w:t>
      </w:r>
    </w:p>
    <w:p w:rsidR="002F5C56" w:rsidRPr="00D17FE0" w:rsidRDefault="002F5C56" w:rsidP="002F5C56">
      <w:pPr>
        <w:pStyle w:val="Paragrafoelenco"/>
        <w:numPr>
          <w:ilvl w:val="0"/>
          <w:numId w:val="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per la tenuta del C/C appositamente aperto e dedicato all’operazione, se previsto da prescrizioni dell'Autorità di gestione;</w:t>
      </w:r>
    </w:p>
    <w:p w:rsidR="002F5C56" w:rsidRPr="00D17FE0" w:rsidRDefault="002F5C56" w:rsidP="002F5C56">
      <w:pPr>
        <w:pStyle w:val="Paragrafoelenco"/>
        <w:numPr>
          <w:ilvl w:val="0"/>
          <w:numId w:val="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per consulenza tecnica e finanziaria, le spese per consulenze legali, le parcelle notarili e le spese relative a perizie tecniche o finanziarie, nonché le spese per contabilità o audit, se direttamente connesse all'operazione cofinanziata e necessarie per la sua preparazione o realizzazione;</w:t>
      </w:r>
    </w:p>
    <w:p w:rsidR="002F5C56" w:rsidRPr="00D17FE0" w:rsidRDefault="002F5C56" w:rsidP="002F5C56">
      <w:pPr>
        <w:pStyle w:val="Paragrafoelenco"/>
        <w:numPr>
          <w:ilvl w:val="0"/>
          <w:numId w:val="3"/>
        </w:num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per garanzie fideiussorie, se tali garanzie sono previste dalle normative vigenti o da prescrizioni dell'Autorità di gestione.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generali possono essere attribuite alla pertinente attività per intero, qualora, riferite unicamente ad un progetto finanziato, o mediante l’applicazione di equi “criteri di imputazione”, nel caso in cui fanno riferimento a più attività, secondo un metodo di ripartizione oggettivo, giustificato e preventivamente definito dall’Autorità di gestione.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lastRenderedPageBreak/>
        <w:t>Tali spese sono considerate ammissibili a condizione che siano basate su costi effettivi relativi all'esecuzione dell'operazione. Inoltre devono essere direttamente legate all'operazione e necessarie per la sua preparazione o esecuzione.</w:t>
      </w:r>
    </w:p>
    <w:p w:rsidR="002F5C56"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Tutte le voci di spesa rientranti in tale categoria devono essere debitamente giustificate da fatture quietanzate o altro documento avente forza probante equivalente. In sede di accertamento dello stato finale dei lavori, l’importo massimo delle spese generali sostenute è ricondotto alla percentuale indicata in base alla spesa sostenuta ritenuta ammissibile.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3.CONDIZIONI PER LA RENDICONTAZIONE DELLE SPESE</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3.1.Prova della spesa</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spese effettivamente sostenute dal beneficiario sono ritenute ammissibili se adeguatamente documentate e riconosciute tali dall’Amministrazione concedente.</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Le singole spese devono essere comprovate da fatture quietanzate o da documenti contabili aventi forza probante equivalente, nei casi in cui le norme vigenti non prevedono l’emissione di fattura.</w:t>
      </w:r>
    </w:p>
    <w:p w:rsidR="002F5C56" w:rsidRPr="00D17FE0"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Per documento contabile avente forza probante equivalente si intende ogni documento comprovante che la scrittura contabile rifletta fedelmente la realtà, in conformità alla normativa vigente in materia di contabilità.</w:t>
      </w:r>
    </w:p>
    <w:p w:rsidR="002F5C56" w:rsidRPr="00F650DB" w:rsidRDefault="002F5C56" w:rsidP="002F5C56">
      <w:pPr>
        <w:tabs>
          <w:tab w:val="left" w:pos="825"/>
        </w:tabs>
        <w:spacing w:after="0"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Le fatture e/o documenti contabili aventi forza probante equivalente devono riportare con chiarezza il riferimento all’oggetto dell’acquisto e/o servizio, oltre, per i beni, il numero </w:t>
      </w:r>
      <w:r w:rsidRPr="00F650DB">
        <w:rPr>
          <w:rFonts w:ascii="Helvetica" w:eastAsia="Times New Roman" w:hAnsi="Helvetica" w:cs="Helvetica"/>
          <w:sz w:val="24"/>
          <w:szCs w:val="24"/>
          <w:lang w:eastAsia="it-IT"/>
        </w:rPr>
        <w:t>seriale o di matricola, qualora esistente, nonché, fatti salvi i documenti contabili relativi a spese sostenute prima della presentazione della domanda al presente avviso, il riferimento al codice della pratica attribuito dal responsabile del procedimento.</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b/>
          <w:sz w:val="24"/>
          <w:szCs w:val="24"/>
          <w:lang w:eastAsia="it-IT"/>
        </w:rPr>
        <w:t>3.2 Prova del pagamento</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Per assicurare la tracciabilità dei flussi finanziari i beneficiari devono indicare, in sede di presentazione della domanda di contributo, il conto corrente dedicato alla registrazione di tutti i movimenti finanziari concernente il progetto cofinanziato.</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Al fine di rendere trasparenti e documentabili tutte le operazioni finanziarie connesse alla realizzazione degli interventi cofinanziati, il beneficiario, per dimostrare l’avvenuto pagamento delle spese inerenti un progetto approvato, potrà utilizzare una o più delle seguenti modalità:</w:t>
      </w:r>
    </w:p>
    <w:p w:rsidR="002F5C56" w:rsidRPr="004C2A6B" w:rsidRDefault="002F5C56" w:rsidP="002F5C56">
      <w:pPr>
        <w:numPr>
          <w:ilvl w:val="0"/>
          <w:numId w:val="4"/>
        </w:numPr>
        <w:tabs>
          <w:tab w:val="left" w:pos="825"/>
        </w:tabs>
        <w:spacing w:before="100" w:beforeAutospacing="1" w:after="100" w:afterAutospacing="1" w:line="240" w:lineRule="auto"/>
        <w:jc w:val="both"/>
        <w:rPr>
          <w:rFonts w:ascii="Helvetica" w:eastAsia="Times New Roman" w:hAnsi="Helvetica" w:cs="Helvetica"/>
          <w:b/>
          <w:sz w:val="24"/>
          <w:szCs w:val="24"/>
          <w:lang w:eastAsia="it-IT"/>
        </w:rPr>
      </w:pPr>
      <w:r w:rsidRPr="00D17FE0">
        <w:rPr>
          <w:rFonts w:ascii="Helvetica" w:eastAsia="Times New Roman" w:hAnsi="Helvetica" w:cs="Helvetica"/>
          <w:sz w:val="24"/>
          <w:szCs w:val="24"/>
          <w:lang w:eastAsia="it-IT"/>
        </w:rPr>
        <w:t>Certificati di pagamento, atti di liquidazione, mandati di pagamento e relative quietanze (</w:t>
      </w:r>
      <w:r w:rsidRPr="004C2A6B">
        <w:rPr>
          <w:rFonts w:ascii="Helvetica" w:eastAsia="Times New Roman" w:hAnsi="Helvetica" w:cs="Helvetica"/>
          <w:b/>
          <w:sz w:val="24"/>
          <w:szCs w:val="24"/>
          <w:lang w:eastAsia="it-IT"/>
        </w:rPr>
        <w:t xml:space="preserve">per gli </w:t>
      </w:r>
      <w:r w:rsidRPr="004C2A6B">
        <w:rPr>
          <w:rFonts w:ascii="Helvetica" w:eastAsia="Times New Roman" w:hAnsi="Helvetica" w:cs="Helvetica"/>
          <w:b/>
          <w:sz w:val="24"/>
          <w:szCs w:val="24"/>
          <w:u w:val="single"/>
          <w:lang w:eastAsia="it-IT"/>
        </w:rPr>
        <w:t>enti pubblici</w:t>
      </w:r>
      <w:r w:rsidRPr="004C2A6B">
        <w:rPr>
          <w:rFonts w:ascii="Helvetica" w:eastAsia="Times New Roman" w:hAnsi="Helvetica" w:cs="Helvetica"/>
          <w:b/>
          <w:sz w:val="24"/>
          <w:szCs w:val="24"/>
          <w:lang w:eastAsia="it-IT"/>
        </w:rPr>
        <w:t>);</w:t>
      </w:r>
    </w:p>
    <w:p w:rsidR="002F5C56" w:rsidRPr="00D17FE0" w:rsidRDefault="002F5C56" w:rsidP="002F5C56">
      <w:pPr>
        <w:numPr>
          <w:ilvl w:val="0"/>
          <w:numId w:val="4"/>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proofErr w:type="spellStart"/>
      <w:r w:rsidRPr="00D17FE0">
        <w:rPr>
          <w:rFonts w:ascii="Helvetica" w:eastAsia="Times New Roman" w:hAnsi="Helvetica" w:cs="Helvetica"/>
          <w:sz w:val="24"/>
          <w:szCs w:val="24"/>
          <w:lang w:eastAsia="it-IT"/>
        </w:rPr>
        <w:t>Sepa</w:t>
      </w:r>
      <w:proofErr w:type="spellEnd"/>
      <w:r w:rsidRPr="00D17FE0">
        <w:rPr>
          <w:rFonts w:ascii="Helvetica" w:eastAsia="Times New Roman" w:hAnsi="Helvetica" w:cs="Helvetica"/>
          <w:sz w:val="24"/>
          <w:szCs w:val="24"/>
          <w:lang w:eastAsia="it-IT"/>
        </w:rPr>
        <w:t xml:space="preserve"> Credit Transfer (SCT) o bonifico SEPA:</w:t>
      </w:r>
      <w:r w:rsidRPr="00D17FE0">
        <w:rPr>
          <w:rFonts w:ascii="Helvetica" w:eastAsia="Times New Roman" w:hAnsi="Helvetica" w:cs="Helvetica"/>
          <w:b/>
          <w:sz w:val="24"/>
          <w:szCs w:val="24"/>
          <w:lang w:eastAsia="it-IT"/>
        </w:rPr>
        <w:t xml:space="preserve"> </w:t>
      </w:r>
      <w:r w:rsidRPr="00D17FE0">
        <w:rPr>
          <w:rFonts w:ascii="Helvetica" w:eastAsia="Times New Roman" w:hAnsi="Helvetica" w:cs="Helvetica"/>
          <w:sz w:val="24"/>
          <w:szCs w:val="24"/>
          <w:lang w:eastAsia="it-IT"/>
        </w:rPr>
        <w:t>il beneficiario del contributo deve produrre, in allegato alle fatture, copia della contabile bancaria e copia dell’estratto conto rilasciata dall’istituto di credito di appoggio, dal quale si evinca l’avvenuto movimento grazie al numero della transazione eseguita, oltre alla descrizione della causale dell’operazione.</w:t>
      </w:r>
    </w:p>
    <w:p w:rsidR="002F5C56" w:rsidRPr="00D17FE0" w:rsidRDefault="002F5C56" w:rsidP="002F5C56">
      <w:pPr>
        <w:numPr>
          <w:ilvl w:val="0"/>
          <w:numId w:val="4"/>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proofErr w:type="spellStart"/>
      <w:r w:rsidRPr="00D17FE0">
        <w:rPr>
          <w:rFonts w:ascii="Helvetica" w:eastAsia="Times New Roman" w:hAnsi="Helvetica" w:cs="Helvetica"/>
          <w:sz w:val="24"/>
          <w:szCs w:val="24"/>
          <w:lang w:eastAsia="it-IT"/>
        </w:rPr>
        <w:t>Sepa</w:t>
      </w:r>
      <w:proofErr w:type="spellEnd"/>
      <w:r w:rsidRPr="00D17FE0">
        <w:rPr>
          <w:rFonts w:ascii="Helvetica" w:eastAsia="Times New Roman" w:hAnsi="Helvetica" w:cs="Helvetica"/>
          <w:sz w:val="24"/>
          <w:szCs w:val="24"/>
          <w:lang w:eastAsia="it-IT"/>
        </w:rPr>
        <w:t xml:space="preserve"> Direct </w:t>
      </w:r>
      <w:proofErr w:type="spellStart"/>
      <w:r w:rsidRPr="00D17FE0">
        <w:rPr>
          <w:rFonts w:ascii="Helvetica" w:eastAsia="Times New Roman" w:hAnsi="Helvetica" w:cs="Helvetica"/>
          <w:sz w:val="24"/>
          <w:szCs w:val="24"/>
          <w:lang w:eastAsia="it-IT"/>
        </w:rPr>
        <w:t>Debit</w:t>
      </w:r>
      <w:proofErr w:type="spellEnd"/>
      <w:r w:rsidRPr="00D17FE0">
        <w:rPr>
          <w:rFonts w:ascii="Helvetica" w:eastAsia="Times New Roman" w:hAnsi="Helvetica" w:cs="Helvetica"/>
          <w:sz w:val="24"/>
          <w:szCs w:val="24"/>
          <w:lang w:eastAsia="it-IT"/>
        </w:rPr>
        <w:t xml:space="preserve"> (SDD) – ex RID: il beneficiario del contributo deve produrre, in allegato alle fatture, copia della contabile bancaria e copia dell’estratto conto rilasciata dall’istituto di credito di appoggio, dal quale si evinca l’avvenuto movimento grazie al numero della transazione eseguita, oltre alla descrizione della causale dell’operazione.</w:t>
      </w:r>
    </w:p>
    <w:p w:rsidR="002F5C56" w:rsidRPr="00D17FE0" w:rsidRDefault="002F5C56" w:rsidP="002F5C56">
      <w:pPr>
        <w:numPr>
          <w:ilvl w:val="0"/>
          <w:numId w:val="4"/>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lastRenderedPageBreak/>
        <w:t>Ricevuta Bancaria (RIBA): il beneficiario del contributo deve produrre, in allegato alle fatture, copia della ricevuta bancaria e copia dell’estratto conto rilasciata dall’istituto di credito di appoggio, dal quale si evinca l’avvenuto movimento grazie al numero della transazione eseguita, oltre alla descrizione della causale dell’operazione.</w:t>
      </w:r>
    </w:p>
    <w:p w:rsidR="002F5C56" w:rsidRPr="00D17FE0" w:rsidRDefault="002F5C56" w:rsidP="002F5C56">
      <w:pPr>
        <w:numPr>
          <w:ilvl w:val="0"/>
          <w:numId w:val="4"/>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Carta di credito o di debito: il beneficiario del contributo deve produrre, in allegato alle fatture, copia della ricevuta e copia dell’estratto conto della carta utilizzata, dal quale si evinca l’avvenuto movimento grazie al numero della transazione eseguita, oltre alla descrizione della causale dell’operazione.</w:t>
      </w:r>
    </w:p>
    <w:p w:rsidR="002F5C56" w:rsidRPr="00D17FE0" w:rsidRDefault="002F5C56" w:rsidP="002F5C56">
      <w:pPr>
        <w:numPr>
          <w:ilvl w:val="0"/>
          <w:numId w:val="4"/>
        </w:num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Assegno circolare “non trasferibile”: il beneficiario deve produrre la fotocopia dell’assegno emesso dall’Istituto di Credito e copia dell’estratto conto nel quale sia evidenziato l’addebito relativo all’emissione del suddetto assegno circolare.</w:t>
      </w:r>
    </w:p>
    <w:p w:rsidR="002F5C56" w:rsidRPr="00D17FE0" w:rsidRDefault="002F5C56" w:rsidP="002F5C56">
      <w:pPr>
        <w:tabs>
          <w:tab w:val="left" w:pos="825"/>
        </w:tabs>
        <w:spacing w:before="100" w:beforeAutospacing="1" w:after="100" w:afterAutospacing="1" w:line="240" w:lineRule="auto"/>
        <w:jc w:val="both"/>
        <w:rPr>
          <w:rFonts w:ascii="Helvetica" w:eastAsia="Times New Roman" w:hAnsi="Helvetica" w:cs="Helvetica"/>
          <w:sz w:val="24"/>
          <w:szCs w:val="24"/>
          <w:lang w:eastAsia="it-IT"/>
        </w:rPr>
      </w:pPr>
      <w:r w:rsidRPr="00D17FE0">
        <w:rPr>
          <w:rFonts w:ascii="Helvetica" w:eastAsia="Times New Roman" w:hAnsi="Helvetica" w:cs="Helvetica"/>
          <w:sz w:val="24"/>
          <w:szCs w:val="24"/>
          <w:lang w:eastAsia="it-IT"/>
        </w:rPr>
        <w:t xml:space="preserve">Nei casi da b) a f), il beneficiario deve produrre altresì la dichiarazione liberatoria dei fornitori/esecutori per i pagamenti effettuati </w:t>
      </w:r>
    </w:p>
    <w:p w:rsidR="002F5C56" w:rsidRPr="004C2A6B" w:rsidRDefault="002F5C56" w:rsidP="002F5C56">
      <w:pPr>
        <w:tabs>
          <w:tab w:val="left" w:pos="825"/>
        </w:tabs>
        <w:spacing w:after="60" w:line="260" w:lineRule="exact"/>
        <w:jc w:val="both"/>
        <w:rPr>
          <w:rFonts w:ascii="Helvetica" w:hAnsi="Helvetica" w:cs="Helvetica"/>
          <w:b/>
          <w:sz w:val="24"/>
          <w:szCs w:val="24"/>
        </w:rPr>
      </w:pPr>
      <w:r w:rsidRPr="004C2A6B">
        <w:rPr>
          <w:rFonts w:ascii="Helvetica" w:hAnsi="Helvetica" w:cs="Helvetica"/>
          <w:b/>
          <w:sz w:val="24"/>
          <w:szCs w:val="24"/>
        </w:rPr>
        <w:t>La documentazione a comprova della spesa e del pagamento deve essere intestata al beneficiario, pena la non ammissibilità della spesa.</w:t>
      </w:r>
    </w:p>
    <w:p w:rsidR="00B32CEC" w:rsidRDefault="00B32CEC"/>
    <w:sectPr w:rsidR="00B32CE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C6827"/>
    <w:multiLevelType w:val="hybridMultilevel"/>
    <w:tmpl w:val="BB1800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AAA1F73"/>
    <w:multiLevelType w:val="hybridMultilevel"/>
    <w:tmpl w:val="6C58F518"/>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
    <w:nsid w:val="53DC6E6D"/>
    <w:multiLevelType w:val="hybridMultilevel"/>
    <w:tmpl w:val="1F6CD6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F7E6346"/>
    <w:multiLevelType w:val="hybridMultilevel"/>
    <w:tmpl w:val="6B528F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114"/>
    <w:rsid w:val="00061A7A"/>
    <w:rsid w:val="002F5C56"/>
    <w:rsid w:val="00420684"/>
    <w:rsid w:val="009F1114"/>
    <w:rsid w:val="00B32CEC"/>
    <w:rsid w:val="00D03F31"/>
    <w:rsid w:val="00F650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5C5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34"/>
    <w:qFormat/>
    <w:rsid w:val="002F5C56"/>
    <w:pPr>
      <w:ind w:left="720"/>
      <w:contextualSpacing/>
    </w:pPr>
  </w:style>
  <w:style w:type="character" w:customStyle="1" w:styleId="ParagrafoelencoCarattere">
    <w:name w:val="Paragrafo elenco Carattere"/>
    <w:link w:val="Paragrafoelenco"/>
    <w:uiPriority w:val="34"/>
    <w:locked/>
    <w:rsid w:val="002F5C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5C5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34"/>
    <w:qFormat/>
    <w:rsid w:val="002F5C56"/>
    <w:pPr>
      <w:ind w:left="720"/>
      <w:contextualSpacing/>
    </w:pPr>
  </w:style>
  <w:style w:type="character" w:customStyle="1" w:styleId="ParagrafoelencoCarattere">
    <w:name w:val="Paragrafo elenco Carattere"/>
    <w:link w:val="Paragrafoelenco"/>
    <w:uiPriority w:val="34"/>
    <w:locked/>
    <w:rsid w:val="002F5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3110</Words>
  <Characters>17733</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Vittorio Marchesiello</cp:lastModifiedBy>
  <cp:revision>6</cp:revision>
  <cp:lastPrinted>2021-04-30T12:12:00Z</cp:lastPrinted>
  <dcterms:created xsi:type="dcterms:W3CDTF">2021-04-20T08:56:00Z</dcterms:created>
  <dcterms:modified xsi:type="dcterms:W3CDTF">2021-04-30T12:12:00Z</dcterms:modified>
</cp:coreProperties>
</file>